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sz w:val="30"/>
          <w:highlight w:val="white"/>
          <w:rtl w:val="0"/>
        </w:rPr>
        <w:t xml:space="preserve">Řešení problémů menšin v české legislativě a v mezinárodních úmluvách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Než se začneme věnovat výše zmíněnému tématu, je důležité vysvětlit si, koho máme na mysli, mluvíme-li o menšině. Řekněme, že toto slovo může vyjadřovat obecněji: Skupinu lidí, která je menší částí společenského celku, početně je těchto lidí méně, než v majoritní skupině. V užším slova smyslu, už se dostáváme k více konkrétnímu vyjádření, zde menšinu určuje její vztah a postavení vůči majoritní skupině společnosti: Je to část společnosti lišící se od většiny např. rasou, náboženstvím, sexuální orientací atd. Naší věci lépe slouží druhé, užší pojetí.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 Menšiny mohou být náboženské, politické, určené změněnou schopností jejich členů a konečně národnostní-etnické. Pojmy etnická menšina a národnostní menšina v české legislativě splývají, právní definice slov “etnická menšina” se tedy nelze dobrat.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Práva těchto menšin jsou v české legislativě ukotvena již od  vytvoření ústavy roku 1920. Zde jim je věnována celá šestá hlava. Zmíněna jsou práva jazyková, náboženská, rovnost před státem pro všechny občany Československé republiky atp.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Naopak v ústavě z roku 1948 se nám nedostává žádného právního zakotvení přístupu k menšinám.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Následující ústava z roku 1960 se ve druhé hlavě zmiňuje o rovnoprávnosti všech občanů, bez rozdílu rasy a národnosti. Speciální práva jsou ovšem přiznána jen někomu: Čl.25 - Občanům maďarské, ukrajinské a polské národnosti zabezpečuje stát všechny možnosti a prostředky ke vzdělání v mateřském jazyce a ke kulturnímu rozvoji. Dočteme se zde také o udělení azylu, a to ve článku 33.: Československá socialistická republika poskytuje azylu cizím státním příslušníkům pronásledovaným za hájení zájmů pracujícího lidu, za účast na národně osvobozeneckém boji, za vědeckou a uměleckou tvorbu nebo za činnost na obranu míru.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4"/>
          <w:highlight w:val="white"/>
          <w:rtl w:val="0"/>
        </w:rPr>
        <w:t xml:space="preserve">Dnešní ústava zakotvuje práva menšin ve svém třetím článku. Ten je celý věnován Listině základních práv a svobod. Hned v obecných ustanoveních první hlavy se nachází naprosto zásadní proklamace: Článek 3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(1) Základní práva a svobody se zaručují všem bez rozdílu pohlaví, rasy, barvy pleti, jazyka, víry a náboženství, politického či jiného smýšlení, národního nebo sociálního původu, </w:t>
      </w:r>
      <w:r w:rsidRPr="00000000" w:rsidR="00000000" w:rsidDel="00000000">
        <w:rPr>
          <w:sz w:val="24"/>
          <w:shd w:val="clear" w:fill="ffc0cb"/>
          <w:rtl w:val="0"/>
        </w:rPr>
        <w:t xml:space="preserve">příslušnosti</w:t>
      </w:r>
      <w:r w:rsidRPr="00000000" w:rsidR="00000000" w:rsidDel="00000000">
        <w:rPr>
          <w:sz w:val="24"/>
          <w:highlight w:val="white"/>
          <w:rtl w:val="0"/>
        </w:rPr>
        <w:t xml:space="preserve"> k národnostní nebo etnické menšině, majetku, rodu nebo jiného postavení.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4"/>
          <w:highlight w:val="white"/>
          <w:rtl w:val="0"/>
        </w:rPr>
        <w:t xml:space="preserve">(2) Každý má právo svobodně rozhodovat o své národnosti. Zakazuje se jakékoli ovlivňování tohoto rozhodování a všechny způsoby nátlaku směřující k odnárodňování.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(3) Nikomu nesmí být způsobena újma na právech pro uplatňování jeho základních práv a svobod.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Dále je v Listině (hlava 3. článek 24) zaznamenáno, že příslušnost k nějaké rase či národnosti, nebude nikomu na újmu. Hned v následujícím článku se dozvídáme o tom, že je národnostním menšinám v ČR zaručeno právo na informace v jejich jazyce, vzdělání v jejich jazyce, jakožto i všestranný rozvoj a podílení se na rozhodování o věcech týkajících se jejich národnostní či etnické menšiny.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Již z nejvyššího, nejzákladnějšího a nejobecnějšího pravního dokumentu České republiky je jasné, že žijeme v zemi, kde je snaha menšiny chránit, dopřávat jim lidských práv a diskriminace není tolerována.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Kromě ústavy se setkáme s právními normami ohledně minorit žijících na území České republiky v  Rámcové úpravě o ochraně národnostních menšin, jež vstoupila do platnosti v roce 1998. Jde o podrobnější zpracování práv menšin v evropském standartu přihlednutím k legislativě konkrétní země, v našem prípadě České repubiky. Nalezneme ji ve Sbírce zákonů České republiky pod číslem 96/1998 Sb. Česká republika se v ní zavazuje k ochraně a podpoře rovnosti osob etnických a národnostních menšin ve všech složkách života a k zákazu nucené asimilace. Na  rozdíl např. od Francie a Německa, kde je tato asimilace považována za vhodnou.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Dalším zákonem ošetřujícím práva menšin v ČR je zákon č. 273/2001 Sb o právech příslušníků národnostních menšin a o změně některých zákonů. Mimo jiné upravuje svobodnou volbu příslušnosti k národnostní menšině, právo na sdružování příslušníků národnostní menšiny, právo účasti na řešení záležitostí týkajících se národnostní menšiny (s čímž souvisí vytvoření Rady vlády pro národnostní menšiny, jejíž funkce a práva jsou v zákoně také uvedeny), právo na užívání jména a příjmení v jazyce národnostní menšiny, právo na užívání jazyka národnostní menšiny ve věcech volebních aj.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Práv menšin se, samozřejmě, dotýká i tzv. antidiskriminační zákon, tedy zákon č.</w:t>
      </w:r>
      <w:r w:rsidRPr="00000000" w:rsidR="00000000" w:rsidDel="00000000">
        <w:rPr>
          <w:sz w:val="20"/>
          <w:highlight w:val="white"/>
          <w:rtl w:val="0"/>
        </w:rPr>
        <w:t xml:space="preserve"> </w:t>
      </w:r>
      <w:r w:rsidRPr="00000000" w:rsidR="00000000" w:rsidDel="00000000">
        <w:rPr>
          <w:sz w:val="24"/>
          <w:highlight w:val="white"/>
          <w:rtl w:val="0"/>
        </w:rPr>
        <w:t xml:space="preserve">198/2009 Sb o rovném zacházení a o právních prostředcích ochrany před diskriminací a o změně některých zákonů. Tento zákon konečně nezmiňuje  pouze národnostní a etnické menšiny, ale ochraňuje osoby před diskriminací z důvodu: rasy, etnického původu, národnosti, pohlaví, sexuální orientace, věku, zdravotního postižení, náboženského vyznání, víry či světového názoru, přičemž se do diskriminace z důvodu pohlaví počítá i diskriminace z důvodu mateřství, otcovství, či pohlavní identifikace.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V zákoně je zmíněna jak diskriminace přímá, tak nepřímá, obtěžování, pronásledování, nebo pokyn k výše zmíněnému. Druhá část zákona se věnuje změně zákona o Veřejném ochránci.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Co se týká mezinárodních úmluv ošetřujících problémy menšinových skupin, je jich hned několik.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Začněme u Úmluvy o ochraně lidských práv a základních svobod. Je jedním z nejpodstatnějších dokumentů sepsaných Radou Evropy. Vyhotovena  byla roku 1950 v Římě a Česká republika se stala jednou z jejích stran roku 1992 (jako první středo a východoevropský stát vůbec). V Úmluvě jsou zakotvena lidská základní práva: Právo na život, zákaz otroctví, zákaz mučení, právo na svoboda projevu, právo na svobodu náboženského vyznání, zákaz diskriminace, právo na svobodu a bezpečí aj.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40" w:line="314" w:before="6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Z Valného shromáždění OSN roku 1965 máme zanechán další mezinárodní pakt a to Úmluvu o odstranění všech forem rasové diskriminace. Vydán byla ve </w:t>
      </w:r>
      <w:r w:rsidRPr="00000000" w:rsidR="00000000" w:rsidDel="00000000">
        <w:rPr>
          <w:sz w:val="24"/>
          <w:highlight w:val="white"/>
          <w:rtl w:val="0"/>
        </w:rPr>
        <w:t xml:space="preserve"> Sbírce zákonů jako vyhláška Ministerstva zahraničních věcí Československé socialistické republiky č. 95/1974 Sb. Zavazuje zúčastněné státy k dodržování lidských práv a rovnosti mezi lidmi. Zvláštností tohoto dokumentu je, že jeho podpisem členská země nejen stvrzuje, že souhlasí s uvedenými regulemi, ale i to, že spadá - pod touto deklarací vzniknuvší - kontrolní orgán, tvz. Výbor pro odstranění rasové diskriminace. Tomu každá členská země jednou za dva roky odešle sebekritickou zprávu o situaci ve státě a plnění závazků vyplývajících z podepsání této úmluvy. Výbor pak zprávu posoudí, ohodnotí situaci a pošle členské zemi odpověď se závěrečnými doporučeními. Je v zájmu toho kterého státu, co nejrychleji a hlavně nejefektivněji, se vypořádat s těmito “doporučeními”. Česká republika si takto s OSN dopisuje nejčastěji o diskriminaci Romů, všechny tyto dokumenty jsou přístupné na webových stránkách vlády ČR.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Rámcová úmluva o ochraně národnostních menšin byla již zmíněna výše. Neškodilo by ale doplnit, že rozsáhlá Euronovela zařídila vyšší aplikační statut, než zákonu. I zde se podpisem členský stát zavazuje k podávání monitorovací zprávy o dodržování signovaných regulí. </w:t>
      </w:r>
    </w:p>
    <w:p w:rsidP="00000000" w:rsidRPr="00000000" w:rsidR="00000000" w:rsidDel="00000000" w:rsidRDefault="00000000">
      <w:pPr>
        <w:pStyle w:val="Heading1"/>
        <w:widowControl w:val="0"/>
        <w:spacing w:lineRule="auto" w:after="600" w:line="264" w:before="480"/>
        <w:contextualSpacing w:val="0"/>
      </w:pPr>
      <w:bookmarkStart w:id="0" w:colFirst="0" w:name="h.yeryhi5qtfhp" w:colLast="0"/>
      <w:bookmarkEnd w:id="0"/>
      <w:r w:rsidRPr="00000000" w:rsidR="00000000" w:rsidDel="00000000">
        <w:rPr>
          <w:rFonts w:cs="Arial" w:hAnsi="Arial" w:eastAsia="Arial" w:ascii="Arial"/>
          <w:sz w:val="24"/>
          <w:highlight w:val="white"/>
          <w:rtl w:val="0"/>
        </w:rPr>
        <w:t xml:space="preserve">Mezinárodní pakt o občanských a politických právech z roku 1968 ošetřuje práva všech lidí na spravedlnost. Zavazuje všechny zúčastněné země k dodržování práv, nehledě na etnikum, národnost, náboženské vyznání či jazyk osoby. I zde existuje kontrolní mechanismus ve formě Výboru pro lidská práva, ten dohlíží na to, aby byl podepsaný pakt dodržován. Zvláštností tohoto kontrolního mechanismu je, že se k němu může odvolat jedinec, který cítí, že byla jeho práva narušena. K jedné z jeho náležitostí patří i zákaz trestu smrti. Kromě kontrolního zde existuje i koordinační mechanismus, jímž je zmocněnec vlády pro lidská práva a Rada vlády ČR pro lidská práva. </w:t>
      </w:r>
    </w:p>
    <w:p w:rsidP="00000000" w:rsidRPr="00000000" w:rsidR="00000000" w:rsidDel="00000000" w:rsidRDefault="00000000">
      <w:pPr>
        <w:pStyle w:val="Heading1"/>
        <w:spacing w:lineRule="auto" w:after="40" w:line="288" w:before="0"/>
        <w:contextualSpacing w:val="0"/>
      </w:pPr>
      <w:bookmarkStart w:id="1" w:colFirst="0" w:name="h.kvgl41gjcbwb" w:colLast="0"/>
      <w:bookmarkEnd w:id="1"/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Rovnosti, svobodě a plnění lidských práv se věnuje i Listina základních práv Evropské unie, Všeobecná deklarace lidských práv, aj.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Zdroj: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ŠIŠKOVÁ, Tatjana.</w:t>
      </w:r>
      <w:r w:rsidRPr="00000000" w:rsidR="00000000" w:rsidDel="00000000">
        <w:rPr>
          <w:i w:val="1"/>
          <w:rtl w:val="0"/>
        </w:rPr>
        <w:t xml:space="preserve"> Menšiny a migranti v České republice.</w:t>
      </w:r>
      <w:r w:rsidRPr="00000000" w:rsidR="00000000" w:rsidDel="00000000">
        <w:rPr>
          <w:rtl w:val="0"/>
        </w:rPr>
        <w:t xml:space="preserve"> Vyd. 1. Praha: Portál, 2001.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Ústava ČR 1920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[</w:t>
      </w:r>
      <w:r w:rsidRPr="00000000" w:rsidR="00000000" w:rsidDel="00000000">
        <w:rPr>
          <w:sz w:val="24"/>
          <w:highlight w:val="white"/>
          <w:rtl w:val="0"/>
        </w:rPr>
        <w:t xml:space="preserve">online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]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Ústava ČR 1948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[</w:t>
      </w:r>
      <w:r w:rsidRPr="00000000" w:rsidR="00000000" w:rsidDel="00000000">
        <w:rPr>
          <w:sz w:val="24"/>
          <w:highlight w:val="white"/>
          <w:rtl w:val="0"/>
        </w:rPr>
        <w:t xml:space="preserve">online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]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Ústava ČR 1960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[</w:t>
      </w:r>
      <w:r w:rsidRPr="00000000" w:rsidR="00000000" w:rsidDel="00000000">
        <w:rPr>
          <w:sz w:val="24"/>
          <w:highlight w:val="white"/>
          <w:rtl w:val="0"/>
        </w:rPr>
        <w:t xml:space="preserve">online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]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Ústava ČR 1993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[</w:t>
      </w:r>
      <w:r w:rsidRPr="00000000" w:rsidR="00000000" w:rsidDel="00000000">
        <w:rPr>
          <w:sz w:val="24"/>
          <w:highlight w:val="white"/>
          <w:rtl w:val="0"/>
        </w:rPr>
        <w:t xml:space="preserve">online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]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Informační bulletin Rámcová úmluva na ochranu národnostních menšin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[</w:t>
      </w:r>
      <w:r w:rsidRPr="00000000" w:rsidR="00000000" w:rsidDel="00000000">
        <w:rPr>
          <w:sz w:val="24"/>
          <w:highlight w:val="white"/>
          <w:rtl w:val="0"/>
        </w:rPr>
        <w:t xml:space="preserve">online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]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Webové stránky Vlády Česé republiky, </w:t>
      </w:r>
      <w:hyperlink r:id="rId5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www.vlada.cz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Webové stránky Národní informační centrum pro mládež, </w:t>
      </w:r>
      <w:hyperlink r:id="rId6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www.nicm.cz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40" w:line="288"/>
        <w:contextualSpacing w:val="0"/>
        <w:rPr/>
      </w:pPr>
      <w:bookmarkStart w:id="2" w:colFirst="0" w:name="h.r97kyv29ab2b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Zdroje: Informační bulletin Rámcová úmluva na ochranu národnostních menšin ; Ústava ČR 1920, Ústava ČR 1948, Ústava ČR  1960, Ústava 1993, Tatjana Šišková, jenšiny a migranti v České republice, My a oni v multikulturní společnosti 21. století, Portál, 2001, první vydání, webové stránky vlády České republiky </w:t>
      </w:r>
      <w:hyperlink r:id="rId7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www.vlada.cz</w:t>
        </w:r>
      </w:hyperlink>
      <w:r w:rsidRPr="00000000" w:rsidR="00000000" w:rsidDel="00000000">
        <w:rPr>
          <w:sz w:val="24"/>
          <w:highlight w:val="white"/>
          <w:rtl w:val="0"/>
        </w:rPr>
        <w:t xml:space="preserve">, webové stránky Národní informační centrum pro mládež </w:t>
      </w:r>
      <w:hyperlink r:id="rId8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www.incm.cz</w:t>
        </w:r>
      </w:hyperlink>
      <w:r w:rsidRPr="00000000" w:rsidR="00000000" w:rsidDel="00000000">
        <w:rPr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nicm.cz" Type="http://schemas.openxmlformats.org/officeDocument/2006/relationships/hyperlink" TargetMode="External" Id="rId6"/><Relationship Target="http://www.vlada.cz" Type="http://schemas.openxmlformats.org/officeDocument/2006/relationships/hyperlink" TargetMode="External" Id="rId5"/><Relationship Target="http://www.incpm.cz" Type="http://schemas.openxmlformats.org/officeDocument/2006/relationships/hyperlink" TargetMode="External" Id="rId8"/><Relationship Target="http://www.vlada.cz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Problémy menšinových skupin - referát.docx</dc:title>
</cp:coreProperties>
</file>